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4828"/>
        <w:gridCol w:w="743"/>
      </w:tblGrid>
      <w:tr w:rsidR="004B1D8E" w:rsidRPr="004B1D8E">
        <w:trPr>
          <w:gridAfter w:val="1"/>
          <w:wAfter w:w="743" w:type="dxa"/>
          <w:jc w:val="center"/>
        </w:trPr>
        <w:tc>
          <w:tcPr>
            <w:tcW w:w="8077" w:type="dxa"/>
            <w:gridSpan w:val="2"/>
          </w:tcPr>
          <w:p w:rsidR="00F8168F" w:rsidRPr="004B1D8E" w:rsidRDefault="00F8168F">
            <w:pPr>
              <w:rPr>
                <w:rFonts w:ascii="Arial" w:hAnsi="Arial"/>
                <w:b/>
                <w:bCs/>
                <w:rtl/>
              </w:rPr>
            </w:pPr>
            <w:bookmarkStart w:id="0" w:name="_GoBack"/>
            <w:bookmarkEnd w:id="0"/>
          </w:p>
          <w:p w:rsidR="00491CA8" w:rsidRPr="004B1D8E" w:rsidRDefault="00491CA8">
            <w:pPr>
              <w:rPr>
                <w:rFonts w:ascii="Arial" w:hAnsi="Arial"/>
                <w:b/>
                <w:bCs/>
                <w:rtl/>
              </w:rPr>
            </w:pPr>
            <w:r w:rsidRPr="004B1D8E">
              <w:rPr>
                <w:rFonts w:ascii="Arial" w:hAnsi="Arial" w:hint="cs"/>
                <w:b/>
                <w:bCs/>
                <w:rtl/>
              </w:rPr>
              <w:t>לפני כב' ה</w:t>
            </w:r>
            <w:sdt>
              <w:sdtPr>
                <w:rPr>
                  <w:rtl/>
                </w:rPr>
                <w:alias w:val="1574"/>
                <w:tag w:val="1574"/>
                <w:id w:val="874660890"/>
                <w:text w:multiLine="1"/>
              </w:sdtPr>
              <w:sdtEndPr/>
              <w:sdtContent>
                <w:r w:rsidRPr="004B1D8E">
                  <w:rPr>
                    <w:rFonts w:ascii="Arial" w:hAnsi="Arial"/>
                    <w:b/>
                    <w:bCs/>
                    <w:rtl/>
                  </w:rPr>
                  <w:t>שופטת</w:t>
                </w:r>
              </w:sdtContent>
            </w:sdt>
            <w:r w:rsidRPr="004B1D8E">
              <w:rPr>
                <w:rFonts w:ascii="Arial" w:hAnsi="Arial" w:hint="cs"/>
                <w:b/>
                <w:bCs/>
                <w:rtl/>
              </w:rPr>
              <w:t xml:space="preserve">  </w:t>
            </w:r>
            <w:sdt>
              <w:sdtPr>
                <w:rPr>
                  <w:rtl/>
                </w:rPr>
                <w:alias w:val="1573"/>
                <w:tag w:val="1573"/>
                <w:id w:val="-188843600"/>
                <w:text w:multiLine="1"/>
              </w:sdtPr>
              <w:sdtEndPr/>
              <w:sdtContent>
                <w:r w:rsidRPr="004B1D8E">
                  <w:rPr>
                    <w:rFonts w:ascii="Arial" w:hAnsi="Arial"/>
                    <w:b/>
                    <w:bCs/>
                    <w:rtl/>
                  </w:rPr>
                  <w:t>איריס אילוטוביץ' סגל</w:t>
                </w:r>
              </w:sdtContent>
            </w:sdt>
          </w:p>
          <w:p w:rsidR="00491CA8" w:rsidRPr="004B1D8E" w:rsidRDefault="00491CA8">
            <w:pPr>
              <w:rPr>
                <w:rFonts w:ascii="Arial" w:hAnsi="Arial" w:cs="FrankRuehl"/>
                <w:sz w:val="28"/>
                <w:szCs w:val="28"/>
              </w:rPr>
            </w:pPr>
          </w:p>
        </w:tc>
      </w:tr>
      <w:tr w:rsidR="004B1D8E" w:rsidRPr="004B1D8E">
        <w:trPr>
          <w:gridAfter w:val="1"/>
          <w:wAfter w:w="743" w:type="dxa"/>
          <w:jc w:val="center"/>
        </w:trPr>
        <w:tc>
          <w:tcPr>
            <w:tcW w:w="8077" w:type="dxa"/>
            <w:gridSpan w:val="2"/>
          </w:tcPr>
          <w:p w:rsidR="004B1D8E" w:rsidRPr="004B1D8E" w:rsidRDefault="004B1D8E">
            <w:pPr>
              <w:rPr>
                <w:rFonts w:ascii="Arial" w:hAnsi="Arial"/>
                <w:b/>
                <w:bCs/>
                <w:rtl/>
              </w:rPr>
            </w:pPr>
          </w:p>
        </w:tc>
      </w:tr>
      <w:tr w:rsidR="004B1D8E" w:rsidRPr="004B1D8E">
        <w:trPr>
          <w:jc w:val="center"/>
        </w:trPr>
        <w:tc>
          <w:tcPr>
            <w:tcW w:w="3249" w:type="dxa"/>
          </w:tcPr>
          <w:sdt>
            <w:sdtPr>
              <w:alias w:val="1180"/>
              <w:tag w:val="1180"/>
              <w:id w:val="1559975633"/>
              <w:text w:multiLine="1"/>
            </w:sdtPr>
            <w:sdtEndPr/>
            <w:sdtContent>
              <w:p w:rsidR="00BB1CD2" w:rsidRPr="004B1D8E" w:rsidRDefault="00491CA8" w:rsidP="00491CA8">
                <w:pPr>
                  <w:bidi w:val="0"/>
                  <w:jc w:val="right"/>
                  <w:rPr>
                    <w:rFonts w:ascii="Arial" w:hAnsi="Arial"/>
                    <w:b/>
                    <w:bCs/>
                    <w:noProof w:val="0"/>
                    <w:sz w:val="26"/>
                    <w:szCs w:val="26"/>
                    <w:rtl/>
                  </w:rPr>
                </w:pPr>
                <w:r w:rsidRPr="004B1D8E">
                  <w:rPr>
                    <w:rFonts w:ascii="Arial" w:hAnsi="Arial"/>
                    <w:b/>
                    <w:bCs/>
                    <w:noProof w:val="0"/>
                    <w:sz w:val="26"/>
                    <w:szCs w:val="26"/>
                    <w:rtl/>
                  </w:rPr>
                  <w:t>מבקש</w:t>
                </w:r>
                <w:r w:rsidRPr="004B1D8E">
                  <w:rPr>
                    <w:rFonts w:ascii="Arial" w:hAnsi="Arial" w:hint="cs"/>
                    <w:b/>
                    <w:bCs/>
                    <w:noProof w:val="0"/>
                    <w:sz w:val="26"/>
                    <w:szCs w:val="26"/>
                    <w:rtl/>
                  </w:rPr>
                  <w:t>ת</w:t>
                </w:r>
              </w:p>
            </w:sdtContent>
          </w:sdt>
        </w:tc>
        <w:tc>
          <w:tcPr>
            <w:tcW w:w="5571" w:type="dxa"/>
            <w:gridSpan w:val="2"/>
          </w:tcPr>
          <w:p w:rsidR="002914D6" w:rsidRPr="004B1D8E" w:rsidRDefault="0056133E">
            <w:pPr>
              <w:rPr>
                <w:b/>
                <w:bCs/>
                <w:noProof w:val="0"/>
                <w:sz w:val="26"/>
                <w:szCs w:val="26"/>
              </w:rPr>
            </w:pPr>
            <w:r w:rsidRPr="004B1D8E">
              <w:rPr>
                <w:rFonts w:ascii="Arial" w:hAnsi="Arial" w:hint="cs"/>
                <w:b/>
                <w:bCs/>
                <w:noProof w:val="0"/>
                <w:sz w:val="26"/>
                <w:szCs w:val="26"/>
                <w:rtl/>
              </w:rPr>
              <w:t>ד.ר.</w:t>
            </w:r>
          </w:p>
        </w:tc>
      </w:tr>
      <w:tr w:rsidR="004B1D8E" w:rsidRPr="004B1D8E">
        <w:trPr>
          <w:jc w:val="center"/>
        </w:trPr>
        <w:tc>
          <w:tcPr>
            <w:tcW w:w="8820" w:type="dxa"/>
            <w:gridSpan w:val="3"/>
          </w:tcPr>
          <w:p w:rsidR="002914D6" w:rsidRPr="004B1D8E" w:rsidRDefault="002914D6">
            <w:pPr>
              <w:rPr>
                <w:rFonts w:ascii="Arial" w:hAnsi="Arial"/>
                <w:b/>
                <w:bCs/>
                <w:noProof w:val="0"/>
                <w:sz w:val="26"/>
                <w:szCs w:val="26"/>
                <w:rtl/>
              </w:rPr>
            </w:pPr>
          </w:p>
          <w:p w:rsidR="002914D6" w:rsidRPr="004B1D8E" w:rsidRDefault="00D725D3" w:rsidP="00D725D3">
            <w:pPr>
              <w:rPr>
                <w:rFonts w:ascii="Arial" w:hAnsi="Arial"/>
                <w:b/>
                <w:bCs/>
                <w:noProof w:val="0"/>
                <w:sz w:val="26"/>
                <w:szCs w:val="26"/>
                <w:rtl/>
              </w:rPr>
            </w:pPr>
            <w:r w:rsidRPr="004B1D8E">
              <w:rPr>
                <w:rFonts w:ascii="Arial" w:hAnsi="Arial" w:hint="cs"/>
                <w:b/>
                <w:bCs/>
                <w:noProof w:val="0"/>
                <w:sz w:val="26"/>
                <w:szCs w:val="26"/>
                <w:rtl/>
              </w:rPr>
              <w:t xml:space="preserve">                                                         -</w:t>
            </w:r>
            <w:r w:rsidR="00011212" w:rsidRPr="004B1D8E">
              <w:rPr>
                <w:rFonts w:ascii="Arial" w:hAnsi="Arial"/>
                <w:b/>
                <w:bCs/>
                <w:noProof w:val="0"/>
                <w:sz w:val="26"/>
                <w:szCs w:val="26"/>
                <w:rtl/>
              </w:rPr>
              <w:t>נגד</w:t>
            </w:r>
            <w:r w:rsidRPr="004B1D8E">
              <w:rPr>
                <w:rFonts w:ascii="Arial" w:hAnsi="Arial" w:hint="cs"/>
                <w:b/>
                <w:bCs/>
                <w:noProof w:val="0"/>
                <w:sz w:val="26"/>
                <w:szCs w:val="26"/>
                <w:rtl/>
              </w:rPr>
              <w:t xml:space="preserve"> -</w:t>
            </w:r>
          </w:p>
          <w:p w:rsidR="002914D6" w:rsidRPr="004B1D8E" w:rsidRDefault="002914D6">
            <w:pPr>
              <w:rPr>
                <w:rFonts w:ascii="Arial" w:hAnsi="Arial"/>
                <w:b/>
                <w:bCs/>
                <w:noProof w:val="0"/>
                <w:sz w:val="26"/>
                <w:szCs w:val="26"/>
              </w:rPr>
            </w:pPr>
          </w:p>
        </w:tc>
      </w:tr>
      <w:tr w:rsidR="004B1D8E" w:rsidRPr="004B1D8E">
        <w:trPr>
          <w:jc w:val="center"/>
        </w:trPr>
        <w:tc>
          <w:tcPr>
            <w:tcW w:w="3249" w:type="dxa"/>
          </w:tcPr>
          <w:p w:rsidR="002914D6" w:rsidRPr="004B1D8E" w:rsidRDefault="002914D6">
            <w:pPr>
              <w:rPr>
                <w:rFonts w:ascii="Arial" w:hAnsi="Arial"/>
                <w:b/>
                <w:bCs/>
                <w:noProof w:val="0"/>
                <w:sz w:val="26"/>
                <w:szCs w:val="26"/>
                <w:rtl/>
              </w:rPr>
            </w:pPr>
          </w:p>
          <w:p w:rsidR="002914D6" w:rsidRPr="004B1D8E" w:rsidRDefault="0099341F" w:rsidP="00491CA8">
            <w:pPr>
              <w:rPr>
                <w:rFonts w:ascii="Arial" w:hAnsi="Arial"/>
                <w:b/>
                <w:bCs/>
                <w:noProof w:val="0"/>
                <w:sz w:val="26"/>
                <w:szCs w:val="26"/>
              </w:rPr>
            </w:pPr>
            <w:sdt>
              <w:sdtPr>
                <w:rPr>
                  <w:rtl/>
                </w:rPr>
                <w:alias w:val="1184"/>
                <w:tag w:val="1184"/>
                <w:id w:val="386307046"/>
                <w:text w:multiLine="1"/>
              </w:sdtPr>
              <w:sdtEndPr/>
              <w:sdtContent>
                <w:r w:rsidR="00094813" w:rsidRPr="004B1D8E">
                  <w:rPr>
                    <w:rFonts w:ascii="Arial" w:hAnsi="Arial"/>
                    <w:b/>
                    <w:bCs/>
                    <w:noProof w:val="0"/>
                    <w:sz w:val="26"/>
                    <w:szCs w:val="26"/>
                    <w:rtl/>
                  </w:rPr>
                  <w:t>משיב</w:t>
                </w:r>
                <w:r w:rsidR="00491CA8" w:rsidRPr="004B1D8E">
                  <w:rPr>
                    <w:rFonts w:ascii="Arial" w:hAnsi="Arial" w:hint="cs"/>
                    <w:b/>
                    <w:bCs/>
                    <w:noProof w:val="0"/>
                    <w:sz w:val="26"/>
                    <w:szCs w:val="26"/>
                    <w:rtl/>
                  </w:rPr>
                  <w:t>ה</w:t>
                </w:r>
              </w:sdtContent>
            </w:sdt>
          </w:p>
        </w:tc>
        <w:tc>
          <w:tcPr>
            <w:tcW w:w="5571" w:type="dxa"/>
            <w:gridSpan w:val="2"/>
          </w:tcPr>
          <w:p w:rsidR="002914D6" w:rsidRPr="004B1D8E" w:rsidRDefault="002914D6">
            <w:pPr>
              <w:rPr>
                <w:rFonts w:ascii="Arial" w:hAnsi="Arial"/>
                <w:b/>
                <w:bCs/>
                <w:noProof w:val="0"/>
                <w:sz w:val="26"/>
                <w:szCs w:val="26"/>
                <w:rtl/>
              </w:rPr>
            </w:pPr>
          </w:p>
          <w:p w:rsidR="002914D6" w:rsidRPr="004B1D8E" w:rsidRDefault="0056133E" w:rsidP="00491CA8">
            <w:pPr>
              <w:rPr>
                <w:b/>
                <w:bCs/>
                <w:noProof w:val="0"/>
                <w:sz w:val="26"/>
                <w:szCs w:val="26"/>
                <w:rtl/>
              </w:rPr>
            </w:pPr>
            <w:r w:rsidRPr="004B1D8E">
              <w:rPr>
                <w:rFonts w:hint="cs"/>
                <w:b/>
                <w:bCs/>
                <w:rtl/>
              </w:rPr>
              <w:t>ל.ל</w:t>
            </w:r>
            <w:r w:rsidRPr="004B1D8E">
              <w:rPr>
                <w:rFonts w:hint="cs"/>
                <w:rtl/>
              </w:rPr>
              <w:t>.</w:t>
            </w:r>
          </w:p>
          <w:p w:rsidR="002914D6" w:rsidRPr="004B1D8E" w:rsidRDefault="002914D6">
            <w:pPr>
              <w:rPr>
                <w:b/>
                <w:bCs/>
                <w:noProof w:val="0"/>
                <w:sz w:val="26"/>
                <w:szCs w:val="26"/>
                <w:rtl/>
              </w:rPr>
            </w:pPr>
          </w:p>
        </w:tc>
      </w:tr>
    </w:tbl>
    <w:p w:rsidR="002914D6" w:rsidRDefault="002914D6"/>
    <w:p w:rsidR="00491CA8" w:rsidRDefault="00491CA8" w:rsidP="0056133E">
      <w:r>
        <w:rPr>
          <w:b/>
          <w:bCs/>
          <w:u w:val="single"/>
          <w:rtl/>
        </w:rPr>
        <w:t>בעניין עזבון המנוחים</w:t>
      </w:r>
      <w:r>
        <w:rPr>
          <w:rtl/>
        </w:rPr>
        <w:t>:</w:t>
      </w:r>
      <w:r>
        <w:rPr>
          <w:b/>
          <w:bCs/>
          <w:noProof w:val="0"/>
          <w:sz w:val="26"/>
          <w:szCs w:val="26"/>
          <w:rtl/>
        </w:rPr>
        <w:t xml:space="preserve"> </w:t>
      </w:r>
      <w:r w:rsidR="0056133E">
        <w:rPr>
          <w:rFonts w:ascii="Arial" w:hAnsi="Arial" w:hint="cs"/>
          <w:b/>
          <w:bCs/>
          <w:noProof w:val="0"/>
          <w:sz w:val="26"/>
          <w:szCs w:val="26"/>
        </w:rPr>
        <w:t>XXX</w:t>
      </w:r>
    </w:p>
    <w:p w:rsidR="002914D6" w:rsidRPr="00491CA8"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8"/>
                <w:szCs w:val="28"/>
                <w:u w:val="single"/>
              </w:rPr>
            </w:pPr>
          </w:p>
        </w:tc>
      </w:tr>
      <w:tr w:rsidR="00491CA8" w:rsidTr="00491CA8">
        <w:trPr>
          <w:jc w:val="center"/>
        </w:trPr>
        <w:tc>
          <w:tcPr>
            <w:tcW w:w="8820" w:type="dxa"/>
            <w:hideMark/>
          </w:tcPr>
          <w:p w:rsidR="00491CA8" w:rsidRDefault="00491CA8">
            <w:pPr>
              <w:bidi w:val="0"/>
              <w:jc w:val="center"/>
              <w:rPr>
                <w:rFonts w:ascii="Arial" w:hAnsi="Arial"/>
                <w:b/>
                <w:bCs/>
                <w:noProof w:val="0"/>
                <w:sz w:val="28"/>
                <w:szCs w:val="28"/>
                <w:u w:val="single"/>
                <w:rtl/>
              </w:rPr>
            </w:pPr>
            <w:r>
              <w:rPr>
                <w:rFonts w:ascii="Arial" w:hAnsi="Arial"/>
                <w:b/>
                <w:bCs/>
                <w:noProof w:val="0"/>
                <w:sz w:val="28"/>
                <w:szCs w:val="28"/>
                <w:u w:val="single"/>
                <w:rtl/>
              </w:rPr>
              <w:t xml:space="preserve">החלטה </w:t>
            </w:r>
          </w:p>
          <w:p w:rsidR="00E65EB4" w:rsidRDefault="00E65EB4" w:rsidP="00E65EB4">
            <w:pPr>
              <w:bidi w:val="0"/>
              <w:jc w:val="center"/>
              <w:rPr>
                <w:rFonts w:ascii="Arial" w:hAnsi="Arial"/>
                <w:b/>
                <w:bCs/>
                <w:noProof w:val="0"/>
                <w:sz w:val="28"/>
                <w:szCs w:val="28"/>
                <w:u w:val="single"/>
              </w:rPr>
            </w:pPr>
          </w:p>
          <w:p w:rsidR="00491CA8" w:rsidRDefault="00491CA8">
            <w:pPr>
              <w:bidi w:val="0"/>
              <w:jc w:val="center"/>
              <w:rPr>
                <w:rFonts w:ascii="Arial" w:hAnsi="Arial"/>
                <w:b/>
                <w:bCs/>
                <w:noProof w:val="0"/>
                <w:sz w:val="28"/>
                <w:szCs w:val="28"/>
                <w:u w:val="single"/>
                <w:rtl/>
              </w:rPr>
            </w:pPr>
            <w:r>
              <w:rPr>
                <w:rFonts w:ascii="Arial" w:hAnsi="Arial"/>
                <w:b/>
                <w:bCs/>
                <w:noProof w:val="0"/>
                <w:sz w:val="28"/>
                <w:szCs w:val="28"/>
                <w:u w:val="single"/>
                <w:rtl/>
              </w:rPr>
              <w:t>לעניין שכר והוצאות עדות</w:t>
            </w:r>
          </w:p>
        </w:tc>
      </w:tr>
    </w:tbl>
    <w:p w:rsidR="00491CA8" w:rsidRDefault="00491CA8" w:rsidP="00491CA8">
      <w:pPr>
        <w:spacing w:line="360" w:lineRule="auto"/>
        <w:jc w:val="both"/>
        <w:rPr>
          <w:rFonts w:ascii="Arial" w:hAnsi="Arial"/>
        </w:rPr>
      </w:pPr>
    </w:p>
    <w:p w:rsidR="00491CA8" w:rsidRDefault="00491CA8" w:rsidP="0056133E">
      <w:pPr>
        <w:spacing w:after="240" w:line="360" w:lineRule="auto"/>
        <w:ind w:firstLine="720"/>
        <w:jc w:val="both"/>
        <w:rPr>
          <w:rFonts w:ascii="Arial" w:hAnsi="Arial"/>
          <w:b/>
          <w:bCs/>
          <w:rtl/>
        </w:rPr>
      </w:pPr>
      <w:r>
        <w:rPr>
          <w:rFonts w:ascii="Arial" w:hAnsi="Arial"/>
          <w:b/>
          <w:bCs/>
          <w:rtl/>
        </w:rPr>
        <w:t xml:space="preserve">לפניי בקשה לפסיקת שכר והוצאות עדות שהוגשה על ידי  עו"ד </w:t>
      </w:r>
      <w:r w:rsidR="0056133E">
        <w:rPr>
          <w:rFonts w:ascii="Arial" w:hAnsi="Arial" w:hint="cs"/>
          <w:b/>
          <w:bCs/>
          <w:rtl/>
        </w:rPr>
        <w:t>ד.ר.</w:t>
      </w:r>
      <w:r>
        <w:rPr>
          <w:rFonts w:ascii="Arial" w:hAnsi="Arial"/>
          <w:b/>
          <w:bCs/>
          <w:rtl/>
        </w:rPr>
        <w:t xml:space="preserve"> (להלן: "העדה"), אשר זומנה להעיד מטעם המשיבה לעדות ארוכה אשר נמשכה מספר ימים ובהיקף של למעלה מ</w:t>
      </w:r>
      <w:r w:rsidR="00587E52">
        <w:rPr>
          <w:rFonts w:ascii="Arial" w:hAnsi="Arial" w:hint="cs"/>
          <w:b/>
          <w:bCs/>
          <w:rtl/>
        </w:rPr>
        <w:t>עשרים ואחת</w:t>
      </w:r>
      <w:r>
        <w:rPr>
          <w:rFonts w:ascii="Arial" w:hAnsi="Arial"/>
          <w:b/>
          <w:bCs/>
          <w:rtl/>
        </w:rPr>
        <w:t xml:space="preserve"> שעות.</w:t>
      </w:r>
    </w:p>
    <w:p w:rsidR="00491CA8" w:rsidRDefault="00491CA8" w:rsidP="00491CA8">
      <w:pPr>
        <w:spacing w:after="240" w:line="360" w:lineRule="auto"/>
        <w:jc w:val="both"/>
        <w:rPr>
          <w:rFonts w:ascii="Arial" w:hAnsi="Arial"/>
          <w:b/>
          <w:bCs/>
          <w:sz w:val="28"/>
          <w:szCs w:val="28"/>
          <w:u w:val="single"/>
          <w:rtl/>
        </w:rPr>
      </w:pPr>
      <w:r>
        <w:rPr>
          <w:rFonts w:ascii="Arial" w:hAnsi="Arial"/>
          <w:b/>
          <w:bCs/>
          <w:sz w:val="28"/>
          <w:szCs w:val="28"/>
          <w:u w:val="single"/>
          <w:rtl/>
        </w:rPr>
        <w:t>העובדות בתמצית</w:t>
      </w:r>
    </w:p>
    <w:p w:rsidR="00491CA8" w:rsidRDefault="00491CA8" w:rsidP="00587E52">
      <w:pPr>
        <w:numPr>
          <w:ilvl w:val="0"/>
          <w:numId w:val="1"/>
        </w:numPr>
        <w:spacing w:after="240" w:line="360" w:lineRule="auto"/>
        <w:ind w:left="0" w:firstLine="0"/>
        <w:jc w:val="both"/>
        <w:rPr>
          <w:rFonts w:ascii="Arial" w:hAnsi="Arial"/>
        </w:rPr>
      </w:pPr>
      <w:r>
        <w:rPr>
          <w:rFonts w:ascii="Arial" w:hAnsi="Arial"/>
          <w:rtl/>
        </w:rPr>
        <w:t xml:space="preserve">העדה העריכה את סך שעות נוכחותה בבית המשפט, לצורך עדותה, בהיקף של </w:t>
      </w:r>
      <w:r w:rsidR="00587E52">
        <w:rPr>
          <w:rFonts w:ascii="Arial" w:hAnsi="Arial" w:hint="cs"/>
          <w:rtl/>
        </w:rPr>
        <w:t>למעלה מ</w:t>
      </w:r>
      <w:r>
        <w:rPr>
          <w:rFonts w:ascii="Arial" w:hAnsi="Arial"/>
          <w:rtl/>
        </w:rPr>
        <w:t xml:space="preserve">עשרים ואחת שעות אשר נפרשו לאורך שישה </w:t>
      </w:r>
      <w:r w:rsidR="00587E52">
        <w:rPr>
          <w:rFonts w:ascii="Arial" w:hAnsi="Arial" w:hint="cs"/>
          <w:rtl/>
        </w:rPr>
        <w:t xml:space="preserve">מועדי </w:t>
      </w:r>
      <w:r>
        <w:rPr>
          <w:rFonts w:ascii="Arial" w:hAnsi="Arial"/>
          <w:rtl/>
        </w:rPr>
        <w:t>דיונים</w:t>
      </w:r>
      <w:r w:rsidR="00587E52">
        <w:rPr>
          <w:rFonts w:ascii="Arial" w:hAnsi="Arial" w:hint="cs"/>
          <w:rtl/>
        </w:rPr>
        <w:t xml:space="preserve"> בזמנים שונים</w:t>
      </w:r>
      <w:r>
        <w:rPr>
          <w:rFonts w:ascii="Arial" w:hAnsi="Arial"/>
          <w:rtl/>
        </w:rPr>
        <w:t>. בנוסף, עתרה העדה לפסיקת הוצאות בגין הדפסה והגהת תרשומות, הגשת תגובות והחזר הוצאות בסך של כ-500 ₪ בגין נסיעה וחנייה, שנאלצה לשאת בתשלומן לשם הגעתה למתן עדותה בבית המשפט.</w:t>
      </w:r>
    </w:p>
    <w:p w:rsidR="00491CA8" w:rsidRDefault="00491CA8" w:rsidP="00D725D3">
      <w:pPr>
        <w:numPr>
          <w:ilvl w:val="0"/>
          <w:numId w:val="1"/>
        </w:numPr>
        <w:spacing w:after="240" w:line="360" w:lineRule="auto"/>
        <w:ind w:left="0" w:firstLine="0"/>
        <w:jc w:val="both"/>
        <w:rPr>
          <w:rFonts w:ascii="Arial" w:hAnsi="Arial"/>
        </w:rPr>
      </w:pPr>
      <w:r>
        <w:rPr>
          <w:rFonts w:ascii="Arial" w:hAnsi="Arial"/>
          <w:rtl/>
        </w:rPr>
        <w:t>בתגובת המתנגדת לבקשה, לא ניתנה התייחסות עניינית, לא כל שכן הכחשה ביחס לסך שעות נוכחות העדה בבית המשפט ולפירוט פעולותיה לשם התייצבותה לעדות בבית המשפט. נימוק ההתנגדות היחיד לבקשה</w:t>
      </w:r>
      <w:r w:rsidR="00587E52">
        <w:rPr>
          <w:rFonts w:ascii="Arial" w:hAnsi="Arial" w:hint="cs"/>
          <w:rtl/>
        </w:rPr>
        <w:t>,</w:t>
      </w:r>
      <w:r>
        <w:rPr>
          <w:rFonts w:ascii="Arial" w:hAnsi="Arial"/>
          <w:rtl/>
        </w:rPr>
        <w:t xml:space="preserve"> התמצה בכך שאין לראות במבקשת כעדה אלא כבאת כוח מוסווית של הגברת </w:t>
      </w:r>
      <w:r w:rsidR="00D725D3">
        <w:rPr>
          <w:rFonts w:ascii="Arial" w:hAnsi="Arial" w:hint="cs"/>
          <w:rtl/>
        </w:rPr>
        <w:t>ע.</w:t>
      </w:r>
      <w:r>
        <w:rPr>
          <w:rFonts w:ascii="Arial" w:hAnsi="Arial"/>
          <w:rtl/>
        </w:rPr>
        <w:t>, מבקשת קיום הצוואה ההדדית של המנוחים.</w:t>
      </w:r>
    </w:p>
    <w:p w:rsidR="00491CA8" w:rsidRDefault="00491CA8" w:rsidP="00491CA8">
      <w:pPr>
        <w:spacing w:after="240" w:line="360" w:lineRule="auto"/>
        <w:jc w:val="both"/>
        <w:rPr>
          <w:rFonts w:ascii="Arial" w:hAnsi="Arial"/>
          <w:b/>
          <w:bCs/>
          <w:sz w:val="28"/>
          <w:szCs w:val="28"/>
          <w:u w:val="single"/>
        </w:rPr>
      </w:pPr>
      <w:r>
        <w:rPr>
          <w:rFonts w:ascii="Arial" w:hAnsi="Arial"/>
          <w:b/>
          <w:bCs/>
          <w:sz w:val="28"/>
          <w:szCs w:val="28"/>
          <w:u w:val="single"/>
          <w:rtl/>
        </w:rPr>
        <w:t>דיון והכרעה</w:t>
      </w:r>
    </w:p>
    <w:p w:rsidR="00491CA8" w:rsidRDefault="00491CA8" w:rsidP="00491CA8">
      <w:pPr>
        <w:spacing w:after="240" w:line="360" w:lineRule="auto"/>
        <w:jc w:val="both"/>
        <w:rPr>
          <w:rFonts w:ascii="Arial" w:hAnsi="Arial"/>
          <w:b/>
          <w:bCs/>
          <w:sz w:val="28"/>
          <w:szCs w:val="28"/>
          <w:u w:val="single"/>
        </w:rPr>
      </w:pPr>
      <w:r>
        <w:rPr>
          <w:rFonts w:ascii="Arial" w:hAnsi="Arial"/>
          <w:b/>
          <w:bCs/>
          <w:sz w:val="28"/>
          <w:szCs w:val="28"/>
          <w:u w:val="single"/>
          <w:rtl/>
        </w:rPr>
        <w:t>המתווה הנורמטיבי</w:t>
      </w:r>
    </w:p>
    <w:p w:rsidR="00491CA8" w:rsidRDefault="00491CA8" w:rsidP="00587E52">
      <w:pPr>
        <w:numPr>
          <w:ilvl w:val="0"/>
          <w:numId w:val="1"/>
        </w:numPr>
        <w:spacing w:after="240" w:line="360" w:lineRule="auto"/>
        <w:ind w:left="0" w:firstLine="0"/>
        <w:jc w:val="both"/>
        <w:rPr>
          <w:rFonts w:ascii="Arial" w:hAnsi="Arial"/>
          <w:rtl/>
        </w:rPr>
      </w:pPr>
      <w:r>
        <w:rPr>
          <w:rFonts w:ascii="Arial" w:hAnsi="Arial"/>
          <w:rtl/>
        </w:rPr>
        <w:t>תקנה 86 לתקנות סדר הדין האזרחי, התשע"ט-2018 (</w:t>
      </w:r>
      <w:r>
        <w:rPr>
          <w:rFonts w:ascii="Arial" w:hAnsi="Arial"/>
          <w:b/>
          <w:bCs/>
          <w:rtl/>
        </w:rPr>
        <w:t>להלן- "התקנות")</w:t>
      </w:r>
      <w:r>
        <w:rPr>
          <w:rFonts w:ascii="Arial" w:hAnsi="Arial"/>
          <w:rtl/>
        </w:rPr>
        <w:t xml:space="preserve"> </w:t>
      </w:r>
      <w:r w:rsidR="00587E52">
        <w:rPr>
          <w:rFonts w:ascii="Arial" w:hAnsi="Arial" w:hint="cs"/>
          <w:rtl/>
        </w:rPr>
        <w:t>קובעת</w:t>
      </w:r>
      <w:r>
        <w:rPr>
          <w:rFonts w:ascii="Arial" w:hAnsi="Arial"/>
          <w:rtl/>
        </w:rPr>
        <w:t xml:space="preserve"> כדלקמן:</w:t>
      </w:r>
    </w:p>
    <w:p w:rsidR="00491CA8" w:rsidRDefault="00491CA8" w:rsidP="00491CA8">
      <w:pPr>
        <w:spacing w:after="240" w:line="360" w:lineRule="auto"/>
        <w:ind w:left="1134"/>
        <w:jc w:val="both"/>
        <w:rPr>
          <w:rFonts w:ascii="Arial" w:hAnsi="Arial"/>
          <w:b/>
          <w:bCs/>
        </w:rPr>
      </w:pPr>
      <w:r>
        <w:rPr>
          <w:rFonts w:ascii="Arial" w:hAnsi="Arial"/>
          <w:b/>
          <w:bCs/>
          <w:rtl/>
        </w:rPr>
        <w:lastRenderedPageBreak/>
        <w:t>"שכר עדים והוצאותיהם</w:t>
      </w:r>
    </w:p>
    <w:p w:rsidR="00491CA8" w:rsidRDefault="00491CA8" w:rsidP="00491CA8">
      <w:pPr>
        <w:spacing w:after="240"/>
        <w:ind w:left="1134" w:right="1134"/>
        <w:jc w:val="both"/>
        <w:rPr>
          <w:rFonts w:ascii="Arial" w:hAnsi="Arial"/>
          <w:b/>
          <w:bCs/>
          <w:rtl/>
        </w:rPr>
      </w:pPr>
      <w:r>
        <w:rPr>
          <w:rFonts w:ascii="Arial" w:hAnsi="Arial"/>
          <w:b/>
          <w:bCs/>
          <w:rtl/>
        </w:rPr>
        <w:t>נענה אדם להזמנה להעיד בבית משפט, רשאי בית המשפט להורות לבעל הדין שביקש להזמינו לשאת בהוצאותיו כפי שיפסוק".</w:t>
      </w:r>
    </w:p>
    <w:p w:rsidR="00491CA8" w:rsidRDefault="00491CA8" w:rsidP="00587E52">
      <w:pPr>
        <w:numPr>
          <w:ilvl w:val="0"/>
          <w:numId w:val="1"/>
        </w:numPr>
        <w:spacing w:after="240" w:line="360" w:lineRule="auto"/>
        <w:ind w:left="0" w:firstLine="0"/>
        <w:jc w:val="both"/>
        <w:rPr>
          <w:rFonts w:ascii="Arial" w:hAnsi="Arial"/>
        </w:rPr>
      </w:pPr>
      <w:r>
        <w:rPr>
          <w:rFonts w:ascii="Arial" w:hAnsi="Arial"/>
          <w:rtl/>
        </w:rPr>
        <w:t>עיון ב</w:t>
      </w:r>
      <w:r w:rsidR="00587E52">
        <w:rPr>
          <w:rFonts w:ascii="Arial" w:hAnsi="Arial" w:hint="cs"/>
          <w:rtl/>
        </w:rPr>
        <w:t>תקנה</w:t>
      </w:r>
      <w:r>
        <w:rPr>
          <w:rFonts w:ascii="Arial" w:hAnsi="Arial"/>
          <w:rtl/>
        </w:rPr>
        <w:t xml:space="preserve"> הקודמת המקבילה בעניין זה, כפי שהופיעה בתקנה 187 (א) לתקנות סדר הדין האזרחי, תשמ"ד-1984 (</w:t>
      </w:r>
      <w:r>
        <w:rPr>
          <w:rFonts w:ascii="Arial" w:hAnsi="Arial"/>
          <w:b/>
          <w:bCs/>
          <w:rtl/>
        </w:rPr>
        <w:t>להלן- "התקנות</w:t>
      </w:r>
      <w:r w:rsidR="00587E52">
        <w:rPr>
          <w:rFonts w:ascii="Arial" w:hAnsi="Arial" w:hint="cs"/>
          <w:b/>
          <w:bCs/>
          <w:rtl/>
        </w:rPr>
        <w:t xml:space="preserve"> הישנות</w:t>
      </w:r>
      <w:r>
        <w:rPr>
          <w:rFonts w:ascii="Arial" w:hAnsi="Arial"/>
          <w:rtl/>
        </w:rPr>
        <w:t>"), מלמדת כי מדובר בשינוי מגמה בעניין פסיקת שכרם של העדים, באמצעות אפשרות להפעלת שיקול דעת מצד של בית המשפט בעת פסיקתו שכר עדות</w:t>
      </w:r>
      <w:r w:rsidR="004554E9">
        <w:rPr>
          <w:rFonts w:ascii="Arial" w:hAnsi="Arial" w:hint="cs"/>
          <w:rtl/>
        </w:rPr>
        <w:t xml:space="preserve">, </w:t>
      </w:r>
      <w:r w:rsidR="004554E9" w:rsidRPr="004554E9">
        <w:rPr>
          <w:rFonts w:ascii="Arial" w:hAnsi="Arial" w:hint="cs"/>
          <w:b/>
          <w:bCs/>
          <w:rtl/>
        </w:rPr>
        <w:t>"עתה אפשר להבחין כי בית המשפט לא מוגבל בפסיקת הסכומים בשכר עדות, בהינתן שהתוספת השנייה לתקנות הקודמות אינה בתוקף עוד.....</w:t>
      </w:r>
      <w:r w:rsidR="004554E9">
        <w:rPr>
          <w:rFonts w:ascii="Arial" w:hAnsi="Arial" w:hint="cs"/>
          <w:rtl/>
        </w:rPr>
        <w:t>"</w:t>
      </w:r>
      <w:r w:rsidR="00533011">
        <w:rPr>
          <w:rFonts w:ascii="Arial" w:hAnsi="Arial" w:hint="cs"/>
          <w:rtl/>
        </w:rPr>
        <w:t xml:space="preserve"> (ד"ר יעקב שקד, שופט, </w:t>
      </w:r>
      <w:r w:rsidR="00533011" w:rsidRPr="00533011">
        <w:rPr>
          <w:rFonts w:ascii="Arial" w:hAnsi="Arial" w:hint="cs"/>
          <w:b/>
          <w:bCs/>
          <w:rtl/>
        </w:rPr>
        <w:t>סדר הדין האזרחי החדש</w:t>
      </w:r>
      <w:r w:rsidR="00533011">
        <w:rPr>
          <w:rFonts w:ascii="Arial" w:hAnsi="Arial" w:hint="cs"/>
          <w:rtl/>
        </w:rPr>
        <w:t>,</w:t>
      </w:r>
      <w:r w:rsidR="004554E9">
        <w:rPr>
          <w:rFonts w:ascii="Arial" w:hAnsi="Arial" w:hint="cs"/>
          <w:rtl/>
        </w:rPr>
        <w:t xml:space="preserve"> </w:t>
      </w:r>
      <w:r w:rsidR="00533011">
        <w:rPr>
          <w:rFonts w:ascii="Arial" w:hAnsi="Arial" w:hint="cs"/>
          <w:rtl/>
        </w:rPr>
        <w:t>448-447 (מהדורה שלישית</w:t>
      </w:r>
      <w:r w:rsidR="00C673A8">
        <w:rPr>
          <w:rFonts w:ascii="Arial" w:hAnsi="Arial" w:hint="cs"/>
          <w:rtl/>
        </w:rPr>
        <w:t>,</w:t>
      </w:r>
      <w:r w:rsidR="00533011">
        <w:rPr>
          <w:rFonts w:ascii="Arial" w:hAnsi="Arial" w:hint="cs"/>
          <w:rtl/>
        </w:rPr>
        <w:t xml:space="preserve"> התשפ"ג-2023))</w:t>
      </w:r>
      <w:r>
        <w:rPr>
          <w:rFonts w:ascii="Arial" w:hAnsi="Arial"/>
          <w:rtl/>
        </w:rPr>
        <w:t>.</w:t>
      </w:r>
    </w:p>
    <w:p w:rsidR="00491CA8" w:rsidRDefault="00491CA8" w:rsidP="00587E52">
      <w:pPr>
        <w:spacing w:after="240" w:line="360" w:lineRule="auto"/>
        <w:ind w:firstLine="720"/>
        <w:jc w:val="both"/>
        <w:rPr>
          <w:rFonts w:ascii="Arial" w:hAnsi="Arial"/>
        </w:rPr>
      </w:pPr>
      <w:r>
        <w:rPr>
          <w:rFonts w:ascii="Arial" w:hAnsi="Arial"/>
          <w:rtl/>
        </w:rPr>
        <w:t>לשם הנוחות תובא להלן ה</w:t>
      </w:r>
      <w:r w:rsidR="00587E52">
        <w:rPr>
          <w:rFonts w:ascii="Arial" w:hAnsi="Arial" w:hint="cs"/>
          <w:rtl/>
        </w:rPr>
        <w:t>תקנה</w:t>
      </w:r>
      <w:r>
        <w:rPr>
          <w:rFonts w:ascii="Arial" w:hAnsi="Arial"/>
          <w:rtl/>
        </w:rPr>
        <w:t xml:space="preserve"> הקודמת המקבילה לעניין פסיקת שכר העדים - תקנה 187 (א) לתקנות</w:t>
      </w:r>
      <w:r w:rsidR="00587E52">
        <w:rPr>
          <w:rFonts w:ascii="Arial" w:hAnsi="Arial" w:hint="cs"/>
          <w:rtl/>
        </w:rPr>
        <w:t xml:space="preserve"> הישנות</w:t>
      </w:r>
      <w:r>
        <w:rPr>
          <w:rFonts w:ascii="Arial" w:hAnsi="Arial"/>
          <w:rtl/>
        </w:rPr>
        <w:t>:</w:t>
      </w:r>
    </w:p>
    <w:p w:rsidR="00491CA8" w:rsidRDefault="00491CA8" w:rsidP="00491CA8">
      <w:pPr>
        <w:spacing w:after="240"/>
        <w:ind w:left="1134" w:right="1134"/>
        <w:jc w:val="both"/>
        <w:rPr>
          <w:rFonts w:ascii="Arial" w:hAnsi="Arial"/>
          <w:b/>
          <w:bCs/>
        </w:rPr>
      </w:pPr>
      <w:r>
        <w:rPr>
          <w:rFonts w:ascii="Arial" w:hAnsi="Arial"/>
          <w:b/>
          <w:bCs/>
          <w:rtl/>
        </w:rPr>
        <w:t>"שכר עדים והוצאותיהם</w:t>
      </w:r>
    </w:p>
    <w:p w:rsidR="00491CA8" w:rsidRDefault="00491CA8" w:rsidP="00491CA8">
      <w:pPr>
        <w:spacing w:after="240"/>
        <w:ind w:left="1134" w:right="1134"/>
        <w:jc w:val="both"/>
        <w:rPr>
          <w:rFonts w:ascii="Arial" w:hAnsi="Arial"/>
          <w:b/>
          <w:bCs/>
          <w:rtl/>
        </w:rPr>
      </w:pPr>
      <w:r>
        <w:rPr>
          <w:rFonts w:ascii="Arial" w:hAnsi="Arial"/>
          <w:b/>
          <w:bCs/>
          <w:rtl/>
        </w:rPr>
        <w:t>187. (א) נענה אדם להזמנה להעיד בבית המשפט, רשאי בית המשפט או הרשם לצוות כי ישולמו לו דמי נסיעתו ממקומו למקום מושב בית המשפט וחזרה, וכן שכר בטלה ודמי לינה שלא יעלו על השיעורים הנקובים בתוספת השנייה".</w:t>
      </w:r>
    </w:p>
    <w:p w:rsidR="000E17DC" w:rsidRDefault="00491CA8" w:rsidP="000E17DC">
      <w:pPr>
        <w:numPr>
          <w:ilvl w:val="0"/>
          <w:numId w:val="1"/>
        </w:numPr>
        <w:spacing w:after="240" w:line="360" w:lineRule="auto"/>
        <w:ind w:left="0" w:firstLine="0"/>
        <w:jc w:val="both"/>
        <w:rPr>
          <w:rFonts w:ascii="Arial" w:hAnsi="Arial"/>
        </w:rPr>
      </w:pPr>
      <w:r w:rsidRPr="000E17DC">
        <w:rPr>
          <w:rFonts w:ascii="Arial" w:hAnsi="Arial"/>
          <w:rtl/>
        </w:rPr>
        <w:t xml:space="preserve">הנה כי כן, מתן אפשרות להפעלת שיקול דעת על ידי בית המשפט בעת פסיקתו שכר עדות, הקבוע בתקנה 86 לתקנות, היה שינוי ראוי ומתבקש לדין הקבוע קודם לכן, כפי שבוטא בתקנה 187 (א) לתקנות </w:t>
      </w:r>
      <w:r w:rsidR="00587E52" w:rsidRPr="000E17DC">
        <w:rPr>
          <w:rFonts w:ascii="Arial" w:hAnsi="Arial" w:hint="cs"/>
          <w:rtl/>
        </w:rPr>
        <w:t xml:space="preserve">הישנות </w:t>
      </w:r>
      <w:r w:rsidRPr="000E17DC">
        <w:rPr>
          <w:rFonts w:ascii="Arial" w:hAnsi="Arial"/>
          <w:rtl/>
        </w:rPr>
        <w:t>אשר הפנתה לסכומים הנקובים בתוספת השנייה שבתקנות</w:t>
      </w:r>
      <w:r w:rsidR="00587E52" w:rsidRPr="000E17DC">
        <w:rPr>
          <w:rFonts w:ascii="Arial" w:hAnsi="Arial" w:hint="cs"/>
          <w:rtl/>
        </w:rPr>
        <w:t xml:space="preserve"> אשר בוטלה זה מכבר</w:t>
      </w:r>
      <w:r w:rsidR="000E17DC" w:rsidRPr="000E17DC">
        <w:rPr>
          <w:rFonts w:ascii="Arial" w:hAnsi="Arial" w:hint="cs"/>
          <w:rtl/>
        </w:rPr>
        <w:t xml:space="preserve"> במסגרת הרפורמה.</w:t>
      </w:r>
      <w:r w:rsidRPr="000E17DC">
        <w:rPr>
          <w:rFonts w:ascii="Arial" w:hAnsi="Arial"/>
          <w:rtl/>
        </w:rPr>
        <w:t xml:space="preserve"> </w:t>
      </w:r>
    </w:p>
    <w:p w:rsidR="00491CA8" w:rsidRPr="000E17DC" w:rsidRDefault="00491CA8" w:rsidP="000E17DC">
      <w:pPr>
        <w:spacing w:after="240" w:line="360" w:lineRule="auto"/>
        <w:ind w:left="141" w:firstLine="567"/>
        <w:jc w:val="both"/>
        <w:rPr>
          <w:rFonts w:ascii="Arial" w:hAnsi="Arial"/>
        </w:rPr>
      </w:pPr>
      <w:r w:rsidRPr="000E17DC">
        <w:rPr>
          <w:rFonts w:ascii="Arial" w:hAnsi="Arial"/>
          <w:rtl/>
        </w:rPr>
        <w:t>עד שהוזמן למתן עדות נאלץ ל</w:t>
      </w:r>
      <w:r w:rsidR="000E17DC">
        <w:rPr>
          <w:rFonts w:ascii="Arial" w:hAnsi="Arial" w:hint="cs"/>
          <w:rtl/>
        </w:rPr>
        <w:t>א פעם ל</w:t>
      </w:r>
      <w:r w:rsidRPr="000E17DC">
        <w:rPr>
          <w:rFonts w:ascii="Arial" w:hAnsi="Arial"/>
          <w:rtl/>
        </w:rPr>
        <w:t>ממן מכ</w:t>
      </w:r>
      <w:r w:rsidR="000E17DC">
        <w:rPr>
          <w:rFonts w:ascii="Arial" w:hAnsi="Arial" w:hint="cs"/>
          <w:rtl/>
        </w:rPr>
        <w:t>י</w:t>
      </w:r>
      <w:r w:rsidRPr="000E17DC">
        <w:rPr>
          <w:rFonts w:ascii="Arial" w:hAnsi="Arial"/>
          <w:rtl/>
        </w:rPr>
        <w:t>סו, בין במישירין ובין בעקיפין, את מתן עדותו, בהתחשב בהשקעת זמנו לצורך מתן עדות – כאשר מוטל ספק רב האם היה די בסכום המקסימלי שבית המשפט היה רשאי לפסוק לטובתו, על פי הוראת תקנה 187 (ב) לתקנות</w:t>
      </w:r>
      <w:r w:rsidR="00E65EB4">
        <w:rPr>
          <w:rFonts w:ascii="Arial" w:hAnsi="Arial" w:hint="cs"/>
          <w:rtl/>
        </w:rPr>
        <w:t xml:space="preserve"> הישנות</w:t>
      </w:r>
      <w:r w:rsidRPr="000E17DC">
        <w:rPr>
          <w:rFonts w:ascii="Arial" w:hAnsi="Arial"/>
          <w:rtl/>
        </w:rPr>
        <w:t>, לשם כיסוי סכום הוצאותיו והפסד יום עבודתו</w:t>
      </w:r>
      <w:r w:rsidR="000E17DC">
        <w:rPr>
          <w:rFonts w:ascii="Arial" w:hAnsi="Arial" w:hint="cs"/>
          <w:rtl/>
        </w:rPr>
        <w:t>,</w:t>
      </w:r>
      <w:r w:rsidRPr="000E17DC">
        <w:rPr>
          <w:rFonts w:ascii="Arial" w:hAnsi="Arial"/>
          <w:rtl/>
        </w:rPr>
        <w:t xml:space="preserve"> ואין נפקא מינה אם העד הגיע למתן עדות של שעה ובשל כך נאלץ לקחת יום חופש מהעבודה ובין עד שנתן עדות יום שלם ונעדר בשל כך ממקום עבודתו (ראו- עמ"ה (מח' חיפה) 5006/96 </w:t>
      </w:r>
      <w:r w:rsidRPr="000E17DC">
        <w:rPr>
          <w:rFonts w:ascii="Arial" w:hAnsi="Arial"/>
          <w:b/>
          <w:bCs/>
          <w:rtl/>
        </w:rPr>
        <w:t>מאיר לוק נ' פקיד שומה חיפה</w:t>
      </w:r>
      <w:r w:rsidR="00533011" w:rsidRPr="000E17DC">
        <w:rPr>
          <w:rFonts w:ascii="Arial" w:hAnsi="Arial"/>
          <w:rtl/>
        </w:rPr>
        <w:t xml:space="preserve"> (16.05.2000</w:t>
      </w:r>
      <w:r w:rsidRPr="000E17DC">
        <w:rPr>
          <w:rFonts w:ascii="Arial" w:hAnsi="Arial"/>
          <w:rtl/>
        </w:rPr>
        <w:t>)</w:t>
      </w:r>
      <w:r w:rsidR="00533011" w:rsidRPr="000E17DC">
        <w:rPr>
          <w:rFonts w:ascii="Arial" w:hAnsi="Arial" w:hint="cs"/>
          <w:rtl/>
        </w:rPr>
        <w:t>).</w:t>
      </w:r>
    </w:p>
    <w:p w:rsidR="000E17DC" w:rsidRPr="000E17DC" w:rsidRDefault="00491CA8" w:rsidP="000E17DC">
      <w:pPr>
        <w:numPr>
          <w:ilvl w:val="0"/>
          <w:numId w:val="1"/>
        </w:numPr>
        <w:spacing w:after="240" w:line="360" w:lineRule="auto"/>
        <w:ind w:left="0" w:firstLine="0"/>
        <w:jc w:val="both"/>
        <w:rPr>
          <w:rFonts w:ascii="Arial" w:hAnsi="Arial"/>
          <w:b/>
          <w:bCs/>
          <w:sz w:val="28"/>
          <w:szCs w:val="28"/>
          <w:u w:val="single"/>
        </w:rPr>
      </w:pPr>
      <w:r w:rsidRPr="000E17DC">
        <w:rPr>
          <w:rFonts w:ascii="Arial" w:hAnsi="Arial"/>
          <w:rtl/>
        </w:rPr>
        <w:t>שינוי הוראת הדין בנוגע לפסיקת שכר העדים הוא שינוי חיובי גם מנקודת מבט תועלתנית</w:t>
      </w:r>
      <w:r w:rsidR="000E17DC">
        <w:rPr>
          <w:rFonts w:ascii="Arial" w:hAnsi="Arial" w:hint="cs"/>
          <w:rtl/>
        </w:rPr>
        <w:t>,</w:t>
      </w:r>
      <w:r w:rsidRPr="000E17DC">
        <w:rPr>
          <w:rFonts w:ascii="Arial" w:hAnsi="Arial"/>
          <w:rtl/>
        </w:rPr>
        <w:t xml:space="preserve"> </w:t>
      </w:r>
      <w:r w:rsidR="000E17DC">
        <w:rPr>
          <w:rFonts w:ascii="Arial" w:hAnsi="Arial" w:hint="cs"/>
          <w:rtl/>
        </w:rPr>
        <w:t>המשקף נאמנה את עקרונות היסוד שברפורמה.</w:t>
      </w:r>
    </w:p>
    <w:p w:rsidR="00E65EB4" w:rsidRDefault="00E65EB4" w:rsidP="000E17DC">
      <w:pPr>
        <w:spacing w:after="240" w:line="360" w:lineRule="auto"/>
        <w:jc w:val="both"/>
        <w:rPr>
          <w:rFonts w:ascii="Arial" w:hAnsi="Arial"/>
          <w:b/>
          <w:bCs/>
          <w:sz w:val="28"/>
          <w:szCs w:val="28"/>
          <w:u w:val="single"/>
          <w:rtl/>
        </w:rPr>
      </w:pPr>
    </w:p>
    <w:p w:rsidR="00E65EB4" w:rsidRDefault="00E65EB4" w:rsidP="000E17DC">
      <w:pPr>
        <w:spacing w:after="240" w:line="360" w:lineRule="auto"/>
        <w:jc w:val="both"/>
        <w:rPr>
          <w:rFonts w:ascii="Arial" w:hAnsi="Arial"/>
          <w:b/>
          <w:bCs/>
          <w:sz w:val="28"/>
          <w:szCs w:val="28"/>
          <w:u w:val="single"/>
          <w:rtl/>
        </w:rPr>
      </w:pPr>
    </w:p>
    <w:p w:rsidR="00491CA8" w:rsidRPr="000E17DC" w:rsidRDefault="00491CA8" w:rsidP="000E17DC">
      <w:pPr>
        <w:spacing w:after="240" w:line="360" w:lineRule="auto"/>
        <w:jc w:val="both"/>
        <w:rPr>
          <w:rFonts w:ascii="Arial" w:hAnsi="Arial"/>
          <w:b/>
          <w:bCs/>
          <w:sz w:val="28"/>
          <w:szCs w:val="28"/>
          <w:u w:val="single"/>
        </w:rPr>
      </w:pPr>
      <w:r w:rsidRPr="000E17DC">
        <w:rPr>
          <w:rFonts w:ascii="Arial" w:hAnsi="Arial"/>
          <w:b/>
          <w:bCs/>
          <w:sz w:val="28"/>
          <w:szCs w:val="28"/>
          <w:u w:val="single"/>
          <w:rtl/>
        </w:rPr>
        <w:lastRenderedPageBreak/>
        <w:t>מן הכלל אל הפרט</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t xml:space="preserve">כפי שפורט בבקשה, וכאמור לא הוכחש עניינית ועובדתית על ידי המתנגדת, העדה ביצעה פעולות הכנה לעדות שהצריכו שעות עבודה, שבגינן היא זכאית לתשלום, ושעל פי המצוין בבקשה כללו בין היתר הגשת תגובות צילום והדפסת מסמכים. </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t>היקף שעות חקירת העדה במקרה שלפניי היה חריג. המדובר בשעות שבהן נעדרה העדה מעבודתה, או כפי שנוסח בתקנות</w:t>
      </w:r>
      <w:r w:rsidR="00E65EB4">
        <w:rPr>
          <w:rFonts w:ascii="Arial" w:hAnsi="Arial" w:hint="cs"/>
          <w:rtl/>
        </w:rPr>
        <w:t xml:space="preserve"> הישנות</w:t>
      </w:r>
      <w:r>
        <w:rPr>
          <w:rFonts w:ascii="Arial" w:hAnsi="Arial"/>
          <w:rtl/>
        </w:rPr>
        <w:t>– זמן "</w:t>
      </w:r>
      <w:r>
        <w:rPr>
          <w:rFonts w:ascii="Arial" w:hAnsi="Arial"/>
          <w:b/>
          <w:bCs/>
          <w:rtl/>
        </w:rPr>
        <w:t>בטלה</w:t>
      </w:r>
      <w:r>
        <w:rPr>
          <w:rFonts w:ascii="Arial" w:hAnsi="Arial"/>
          <w:rtl/>
        </w:rPr>
        <w:t>" – בטלות העדה מעבודתה לצורך התייצבותה לעדות.</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t>אשר לשעות נוכחותה של העדה בבית המשפט לצורך מתן עדותה – התרשמות בית המשפט היא כי העדה לא הפריזה בהערכה זו. מה גם, שהמשיבה לא הכחישה טענה עובדתית זו.</w:t>
      </w:r>
    </w:p>
    <w:p w:rsidR="00491CA8" w:rsidRDefault="00491CA8" w:rsidP="00E65EB4">
      <w:pPr>
        <w:numPr>
          <w:ilvl w:val="0"/>
          <w:numId w:val="1"/>
        </w:numPr>
        <w:spacing w:after="240" w:line="360" w:lineRule="auto"/>
        <w:ind w:left="0" w:firstLine="0"/>
        <w:jc w:val="both"/>
        <w:rPr>
          <w:rFonts w:ascii="Arial" w:hAnsi="Arial"/>
        </w:rPr>
      </w:pPr>
      <w:r>
        <w:rPr>
          <w:rFonts w:ascii="Arial" w:hAnsi="Arial"/>
          <w:rtl/>
        </w:rPr>
        <w:t>עוד עתרה העדה לפסיקת הוצאות נסיעה וחנייה, ששולמו על ידה לשם התייצבותה בבית המשפט למטרת מתן עדותה</w:t>
      </w:r>
      <w:r w:rsidR="00E65EB4">
        <w:rPr>
          <w:rFonts w:ascii="Arial" w:hAnsi="Arial" w:hint="cs"/>
          <w:rtl/>
        </w:rPr>
        <w:t>.</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t>הערכת העדה כי הוצאות הנסיעה והחנייה ששולמו על ידה לצורך מתן התייצבותה לעדות בשישה דיונים הן בסך של כ-500 ₪, בהינתן כי העדה מתגוררת בעיר רעננה וכי הדיון נדון בבית המשפט בתל אביב – נראה כי דרישתה לסך האמור, היא סבירה והגיונית. יתרה מכך, הן בנוגע לרכיב זה –לא נמצאה התייחסות ענינית, לא כל שכן הכחשה, מצד המתנגדת.</w:t>
      </w:r>
    </w:p>
    <w:p w:rsidR="00491CA8" w:rsidRDefault="00491CA8" w:rsidP="00E65EB4">
      <w:pPr>
        <w:numPr>
          <w:ilvl w:val="0"/>
          <w:numId w:val="1"/>
        </w:numPr>
        <w:spacing w:after="240" w:line="360" w:lineRule="auto"/>
        <w:ind w:left="0" w:firstLine="0"/>
        <w:jc w:val="both"/>
        <w:rPr>
          <w:rFonts w:ascii="Arial" w:hAnsi="Arial"/>
        </w:rPr>
      </w:pPr>
      <w:r>
        <w:rPr>
          <w:rFonts w:ascii="Arial" w:hAnsi="Arial"/>
          <w:rtl/>
        </w:rPr>
        <w:t xml:space="preserve">העדה טענה כי הדפסת התרשומות האמורות (16 עמודים מודפסים) על ידי המזכירה ובהגהה שערכה עליו ערך מספר ימים, וכי העיסוק בהתייחסות לדרישת התיקונים </w:t>
      </w:r>
      <w:r w:rsidR="00E65EB4">
        <w:rPr>
          <w:rFonts w:ascii="Arial" w:hAnsi="Arial" w:hint="cs"/>
          <w:rtl/>
        </w:rPr>
        <w:t>הצריך ממנה עבודה נוספת של מספר שעות.</w:t>
      </w:r>
      <w:r>
        <w:rPr>
          <w:rFonts w:ascii="Arial" w:hAnsi="Arial"/>
          <w:rtl/>
        </w:rPr>
        <w:t xml:space="preserve"> </w:t>
      </w:r>
    </w:p>
    <w:p w:rsidR="00491CA8" w:rsidRDefault="00491CA8" w:rsidP="00E65EB4">
      <w:pPr>
        <w:numPr>
          <w:ilvl w:val="0"/>
          <w:numId w:val="1"/>
        </w:numPr>
        <w:spacing w:after="240" w:line="360" w:lineRule="auto"/>
        <w:ind w:left="0" w:firstLine="0"/>
        <w:jc w:val="both"/>
        <w:rPr>
          <w:rFonts w:ascii="Arial" w:hAnsi="Arial"/>
        </w:rPr>
      </w:pPr>
      <w:r>
        <w:rPr>
          <w:rFonts w:ascii="Arial" w:hAnsi="Arial"/>
          <w:rtl/>
        </w:rPr>
        <w:t>אלא מאי, העדה לא סיפקה פירוט ותמיכה, וקל וחומר שלא פירוט ותמיכה מספקים, כיצד ומדוע התעורר צורך בהשקעת "מספר ימים" לשם הדפסת והגההת התרשומות בהתייחסות לדרישת התיקונים. ולעניין זה, יצוין כי העדה אף לא תמכה את טענותיה בבקשה בתצהיר.</w:t>
      </w:r>
    </w:p>
    <w:p w:rsidR="00491CA8" w:rsidRDefault="00491CA8" w:rsidP="00491CA8">
      <w:pPr>
        <w:spacing w:after="240" w:line="360" w:lineRule="auto"/>
        <w:jc w:val="both"/>
        <w:rPr>
          <w:rFonts w:ascii="Arial" w:hAnsi="Arial"/>
          <w:b/>
          <w:bCs/>
          <w:sz w:val="28"/>
          <w:szCs w:val="28"/>
          <w:u w:val="single"/>
        </w:rPr>
      </w:pPr>
      <w:r>
        <w:rPr>
          <w:rFonts w:ascii="Arial" w:hAnsi="Arial"/>
          <w:b/>
          <w:bCs/>
          <w:sz w:val="28"/>
          <w:szCs w:val="28"/>
          <w:u w:val="single"/>
          <w:rtl/>
        </w:rPr>
        <w:t>התוצאה</w:t>
      </w:r>
    </w:p>
    <w:p w:rsidR="00491CA8" w:rsidRDefault="00491CA8" w:rsidP="00B54CA0">
      <w:pPr>
        <w:numPr>
          <w:ilvl w:val="0"/>
          <w:numId w:val="1"/>
        </w:numPr>
        <w:spacing w:after="240" w:line="360" w:lineRule="auto"/>
        <w:ind w:left="0" w:firstLine="0"/>
        <w:jc w:val="both"/>
        <w:rPr>
          <w:rFonts w:ascii="Arial" w:hAnsi="Arial"/>
        </w:rPr>
      </w:pPr>
      <w:r>
        <w:rPr>
          <w:rFonts w:ascii="Arial" w:hAnsi="Arial"/>
          <w:rtl/>
        </w:rPr>
        <w:t>בנסיבות אלו, ותוך שיקלול השיקולים המפורטים לכאן ולכאן, אני מורה כי המתנגדת תישא בגין הוצאותיה ושכר טרחתה של העדה בסך של 4,500 ₪</w:t>
      </w:r>
      <w:r w:rsidR="00B54CA0">
        <w:rPr>
          <w:rFonts w:ascii="Arial" w:hAnsi="Arial" w:hint="cs"/>
          <w:rtl/>
        </w:rPr>
        <w:t xml:space="preserve"> בתוך 30 ימים</w:t>
      </w:r>
      <w:r>
        <w:rPr>
          <w:rFonts w:ascii="Arial" w:hAnsi="Arial"/>
          <w:rtl/>
        </w:rPr>
        <w:t>.</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t>במידת הצורך תגיש העדה פסיקתה מתאימה לחתימתי בתוך 7 ימים מהיום.</w:t>
      </w:r>
    </w:p>
    <w:p w:rsidR="00E65EB4" w:rsidRDefault="00E65EB4" w:rsidP="00491CA8">
      <w:pPr>
        <w:numPr>
          <w:ilvl w:val="0"/>
          <w:numId w:val="1"/>
        </w:numPr>
        <w:spacing w:after="240" w:line="360" w:lineRule="auto"/>
        <w:ind w:left="0" w:firstLine="0"/>
        <w:jc w:val="both"/>
        <w:rPr>
          <w:rFonts w:ascii="Arial" w:hAnsi="Arial"/>
        </w:rPr>
      </w:pPr>
      <w:r>
        <w:rPr>
          <w:rFonts w:ascii="Arial" w:hAnsi="Arial" w:hint="cs"/>
          <w:rtl/>
        </w:rPr>
        <w:t>ההחלטה מותרת לפרסום בהשמטת פרטים מזהים.</w:t>
      </w:r>
    </w:p>
    <w:p w:rsidR="00491CA8" w:rsidRDefault="00491CA8" w:rsidP="00491CA8">
      <w:pPr>
        <w:numPr>
          <w:ilvl w:val="0"/>
          <w:numId w:val="1"/>
        </w:numPr>
        <w:spacing w:after="240" w:line="360" w:lineRule="auto"/>
        <w:ind w:left="0" w:firstLine="0"/>
        <w:jc w:val="both"/>
        <w:rPr>
          <w:rFonts w:ascii="Arial" w:hAnsi="Arial"/>
        </w:rPr>
      </w:pPr>
      <w:r>
        <w:rPr>
          <w:rFonts w:ascii="Arial" w:hAnsi="Arial"/>
          <w:rtl/>
        </w:rPr>
        <w:lastRenderedPageBreak/>
        <w:t>תואיל המזכירות להמציא החלטתי לצדדים.</w:t>
      </w:r>
    </w:p>
    <w:p w:rsidR="002914D6" w:rsidRPr="00491CA8" w:rsidRDefault="002914D6">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כ"ה אייר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16 מאי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99341F">
      <w:pPr>
        <w:spacing w:line="360" w:lineRule="auto"/>
        <w:ind w:left="3600" w:firstLine="720"/>
        <w:jc w:val="both"/>
      </w:pPr>
      <w:sdt>
        <w:sdtPr>
          <w:rPr>
            <w:rtl/>
          </w:rPr>
          <w:alias w:val="MergeField"/>
          <w:tag w:val="1237"/>
          <w:id w:val="520590892"/>
        </w:sdtPr>
        <w:sdtEndPr/>
        <w:sdtContent>
          <w:r w:rsidR="00F8168F">
            <w:drawing>
              <wp:inline distT="0" distB="0" distL="0" distR="0" wp14:editId="50D07946">
                <wp:extent cx="1771650"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71650" cy="50482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533011">
      <w:headerReference w:type="default" r:id="rId9"/>
      <w:footerReference w:type="default" r:id="rId10"/>
      <w:pgSz w:w="11907" w:h="16840" w:code="9"/>
      <w:pgMar w:top="720" w:right="1701" w:bottom="431" w:left="1701" w:header="720" w:footer="1055"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41F" w:rsidRDefault="0099341F">
      <w:r>
        <w:separator/>
      </w:r>
    </w:p>
  </w:endnote>
  <w:endnote w:type="continuationSeparator" w:id="0">
    <w:p w:rsidR="0099341F" w:rsidRDefault="0099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74F4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74F4E">
      <w:rPr>
        <w:rStyle w:val="ab"/>
        <w:rtl/>
      </w:rPr>
      <w:t>4</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41F" w:rsidRDefault="0099341F">
      <w:r>
        <w:separator/>
      </w:r>
    </w:p>
  </w:footnote>
  <w:footnote w:type="continuationSeparator" w:id="0">
    <w:p w:rsidR="0099341F" w:rsidRDefault="00993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99341F" w:rsidP="0056133E">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תמ"ש</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37248-12-22</w:t>
              </w:r>
            </w:sdtContent>
          </w:sdt>
          <w:r w:rsidR="00011212">
            <w:rPr>
              <w:b/>
              <w:bCs/>
              <w:noProof w:val="0"/>
              <w:sz w:val="26"/>
              <w:szCs w:val="26"/>
              <w:rtl/>
            </w:rPr>
            <w:t xml:space="preserve"> </w:t>
          </w:r>
          <w:sdt>
            <w:sdtPr>
              <w:rPr>
                <w:rtl/>
              </w:rPr>
              <w:alias w:val="1172"/>
              <w:tag w:val="1172"/>
              <w:id w:val="-1735694493"/>
              <w:text w:multiLine="1"/>
            </w:sdtPr>
            <w:sdtEndPr/>
            <w:sdtContent>
              <w:r w:rsidR="0056133E">
                <w:rPr>
                  <w:rFonts w:hint="cs"/>
                  <w:b/>
                  <w:bCs/>
                  <w:noProof w:val="0"/>
                  <w:sz w:val="26"/>
                  <w:szCs w:val="26"/>
                  <w:rtl/>
                </w:rPr>
                <w:t>ל. נ. ז</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6676D"/>
    <w:multiLevelType w:val="hybridMultilevel"/>
    <w:tmpl w:val="1D5CD1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6252E"/>
    <w:rsid w:val="00094813"/>
    <w:rsid w:val="000E17DC"/>
    <w:rsid w:val="0014058F"/>
    <w:rsid w:val="001B066E"/>
    <w:rsid w:val="001E0EB7"/>
    <w:rsid w:val="00242BA8"/>
    <w:rsid w:val="002914D6"/>
    <w:rsid w:val="002F5307"/>
    <w:rsid w:val="003510A0"/>
    <w:rsid w:val="0039203C"/>
    <w:rsid w:val="003A6051"/>
    <w:rsid w:val="003C2B44"/>
    <w:rsid w:val="003C669B"/>
    <w:rsid w:val="003F6D08"/>
    <w:rsid w:val="004554E9"/>
    <w:rsid w:val="00491CA8"/>
    <w:rsid w:val="004B1D8E"/>
    <w:rsid w:val="00503A57"/>
    <w:rsid w:val="00530E94"/>
    <w:rsid w:val="00533011"/>
    <w:rsid w:val="0056133E"/>
    <w:rsid w:val="00574F4E"/>
    <w:rsid w:val="00587E52"/>
    <w:rsid w:val="007260E6"/>
    <w:rsid w:val="007F39F4"/>
    <w:rsid w:val="00822AA5"/>
    <w:rsid w:val="00946045"/>
    <w:rsid w:val="0099341F"/>
    <w:rsid w:val="00A54660"/>
    <w:rsid w:val="00A7661B"/>
    <w:rsid w:val="00B31305"/>
    <w:rsid w:val="00B54CA0"/>
    <w:rsid w:val="00BB1CD2"/>
    <w:rsid w:val="00C226D6"/>
    <w:rsid w:val="00C62777"/>
    <w:rsid w:val="00C673A8"/>
    <w:rsid w:val="00CA6475"/>
    <w:rsid w:val="00CB3F61"/>
    <w:rsid w:val="00CE7F78"/>
    <w:rsid w:val="00D725D3"/>
    <w:rsid w:val="00E65EB4"/>
    <w:rsid w:val="00EC08AF"/>
    <w:rsid w:val="00F50E07"/>
    <w:rsid w:val="00F8168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180313">
      <w:bodyDiv w:val="1"/>
      <w:marLeft w:val="0"/>
      <w:marRight w:val="0"/>
      <w:marTop w:val="0"/>
      <w:marBottom w:val="0"/>
      <w:divBdr>
        <w:top w:val="none" w:sz="0" w:space="0" w:color="auto"/>
        <w:left w:val="none" w:sz="0" w:space="0" w:color="auto"/>
        <w:bottom w:val="none" w:sz="0" w:space="0" w:color="auto"/>
        <w:right w:val="none" w:sz="0" w:space="0" w:color="auto"/>
      </w:divBdr>
    </w:div>
    <w:div w:id="132207488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3609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760</Words>
  <Characters>3802</Characters>
  <Application>Microsoft Office Word</Application>
  <DocSecurity>0</DocSecurity>
  <Lines>31</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2023-07-11T10:07:00Z</dcterms:created>
  <dcterms:modified xsi:type="dcterms:W3CDTF">2023-07-11T10:07:00Z</dcterms:modified>
</cp:coreProperties>
</file>